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1F6B" w14:textId="77777777" w:rsidR="00351112" w:rsidRPr="00065C5B" w:rsidRDefault="00351112" w:rsidP="00351112">
      <w:pPr>
        <w:pStyle w:val="2"/>
        <w:rPr>
          <w:lang w:val="el-GR"/>
        </w:rPr>
      </w:pPr>
      <w:bookmarkStart w:id="0" w:name="_Toc132986306"/>
      <w:r w:rsidRPr="00970AE3">
        <w:t xml:space="preserve">ΠΑΡΑΡΤΗΜΑ ΙΙ – </w:t>
      </w:r>
      <w:r w:rsidRPr="00970AE3">
        <w:rPr>
          <w:lang w:val="el-GR"/>
        </w:rPr>
        <w:t>Πίνακας Συμμόρφωσης</w:t>
      </w:r>
      <w:bookmarkEnd w:id="0"/>
      <w:r w:rsidRPr="00065C5B">
        <w:rPr>
          <w:lang w:val="el-GR"/>
        </w:rPr>
        <w:t xml:space="preserve"> </w:t>
      </w:r>
    </w:p>
    <w:p w14:paraId="1F7C2916" w14:textId="77777777" w:rsidR="00351112" w:rsidRPr="00065C5B" w:rsidRDefault="00351112" w:rsidP="00351112">
      <w:pPr>
        <w:rPr>
          <w:rFonts w:eastAsia="SimSun"/>
          <w:highlight w:val="yellow"/>
          <w:lang w:val="el-GR"/>
        </w:rPr>
      </w:pPr>
    </w:p>
    <w:tbl>
      <w:tblPr>
        <w:tblW w:w="8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2967"/>
        <w:gridCol w:w="1425"/>
        <w:gridCol w:w="1370"/>
        <w:gridCol w:w="1480"/>
      </w:tblGrid>
      <w:tr w:rsidR="00351112" w:rsidRPr="00BA5E5A" w14:paraId="6662FE60" w14:textId="77777777" w:rsidTr="00386109">
        <w:trPr>
          <w:trHeight w:val="947"/>
          <w:jc w:val="center"/>
        </w:trPr>
        <w:tc>
          <w:tcPr>
            <w:tcW w:w="853" w:type="dxa"/>
            <w:shd w:val="clear" w:color="auto" w:fill="D9D9D9"/>
          </w:tcPr>
          <w:p w14:paraId="7940E2F7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α/α</w:t>
            </w:r>
          </w:p>
        </w:tc>
        <w:tc>
          <w:tcPr>
            <w:tcW w:w="2967" w:type="dxa"/>
            <w:shd w:val="clear" w:color="auto" w:fill="D9D9D9"/>
          </w:tcPr>
          <w:p w14:paraId="495023DA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  <w:r w:rsidRPr="00BA5E5A">
              <w:rPr>
                <w:rFonts w:eastAsia="SimSun"/>
                <w:b/>
                <w:bCs/>
                <w:szCs w:val="22"/>
                <w:lang w:val="el-GR"/>
              </w:rPr>
              <w:t xml:space="preserve">Παραδοτέο </w:t>
            </w:r>
            <w:r>
              <w:rPr>
                <w:rFonts w:eastAsia="SimSun"/>
                <w:b/>
                <w:bCs/>
                <w:szCs w:val="22"/>
                <w:lang w:val="el-GR"/>
              </w:rPr>
              <w:t>σύμφωνα με τις απαιτήσεις του Παραρτήματος Ι της Διακήρυξης</w:t>
            </w:r>
          </w:p>
        </w:tc>
        <w:tc>
          <w:tcPr>
            <w:tcW w:w="1425" w:type="dxa"/>
            <w:shd w:val="clear" w:color="auto" w:fill="D9D9D9"/>
          </w:tcPr>
          <w:p w14:paraId="227C416E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Υποχρεωτική απαίτηση</w:t>
            </w:r>
          </w:p>
        </w:tc>
        <w:tc>
          <w:tcPr>
            <w:tcW w:w="1370" w:type="dxa"/>
            <w:shd w:val="clear" w:color="auto" w:fill="D9D9D9"/>
          </w:tcPr>
          <w:p w14:paraId="13E6EDA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Απάντηση προμηθευτή</w:t>
            </w:r>
          </w:p>
        </w:tc>
        <w:tc>
          <w:tcPr>
            <w:tcW w:w="1480" w:type="dxa"/>
            <w:shd w:val="clear" w:color="auto" w:fill="D9D9D9"/>
          </w:tcPr>
          <w:p w14:paraId="1D371D1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Παραπομπές σχόλια</w:t>
            </w:r>
          </w:p>
        </w:tc>
      </w:tr>
      <w:tr w:rsidR="00351112" w:rsidRPr="00BA5E5A" w14:paraId="1696436D" w14:textId="77777777" w:rsidTr="00386109">
        <w:trPr>
          <w:trHeight w:val="323"/>
          <w:jc w:val="center"/>
        </w:trPr>
        <w:tc>
          <w:tcPr>
            <w:tcW w:w="853" w:type="dxa"/>
            <w:shd w:val="clear" w:color="auto" w:fill="D9D9D9"/>
          </w:tcPr>
          <w:p w14:paraId="7EC5839C" w14:textId="77777777" w:rsidR="00351112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</w:p>
        </w:tc>
        <w:tc>
          <w:tcPr>
            <w:tcW w:w="2967" w:type="dxa"/>
            <w:shd w:val="clear" w:color="auto" w:fill="D9D9D9"/>
          </w:tcPr>
          <w:p w14:paraId="7A56F699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b/>
                <w:bCs/>
                <w:szCs w:val="22"/>
                <w:lang w:val="el-GR"/>
              </w:rPr>
            </w:pPr>
            <w:r>
              <w:rPr>
                <w:rFonts w:eastAsia="SimSun"/>
                <w:b/>
                <w:bCs/>
                <w:szCs w:val="22"/>
                <w:lang w:val="el-GR"/>
              </w:rPr>
              <w:t>ΠΡΟΔΙΑΓΡΑΦΕΣ</w:t>
            </w:r>
          </w:p>
        </w:tc>
        <w:tc>
          <w:tcPr>
            <w:tcW w:w="4275" w:type="dxa"/>
            <w:gridSpan w:val="3"/>
            <w:shd w:val="clear" w:color="auto" w:fill="D9D9D9"/>
          </w:tcPr>
          <w:p w14:paraId="753F4064" w14:textId="77777777" w:rsidR="00351112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b/>
                <w:bCs/>
                <w:szCs w:val="22"/>
                <w:lang w:val="el-GR"/>
              </w:rPr>
            </w:pPr>
          </w:p>
        </w:tc>
      </w:tr>
      <w:tr w:rsidR="00351112" w:rsidRPr="00BA5E5A" w14:paraId="36772C89" w14:textId="77777777" w:rsidTr="00386109">
        <w:trPr>
          <w:jc w:val="center"/>
        </w:trPr>
        <w:tc>
          <w:tcPr>
            <w:tcW w:w="853" w:type="dxa"/>
          </w:tcPr>
          <w:p w14:paraId="1DA57342" w14:textId="77777777" w:rsidR="00351112" w:rsidRPr="00B86F91" w:rsidRDefault="00351112" w:rsidP="00386109">
            <w:pPr>
              <w:suppressAutoHyphens w:val="0"/>
              <w:spacing w:after="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>
              <w:rPr>
                <w:rFonts w:eastAsia="SimSun"/>
                <w:sz w:val="20"/>
                <w:szCs w:val="20"/>
                <w:lang w:val="el-GR"/>
              </w:rPr>
              <w:t>1</w:t>
            </w:r>
          </w:p>
        </w:tc>
        <w:tc>
          <w:tcPr>
            <w:tcW w:w="2967" w:type="dxa"/>
            <w:shd w:val="clear" w:color="auto" w:fill="auto"/>
          </w:tcPr>
          <w:p w14:paraId="6F436977" w14:textId="77777777" w:rsidR="00351112" w:rsidRPr="00B86F91" w:rsidRDefault="00351112" w:rsidP="00386109">
            <w:pPr>
              <w:suppressAutoHyphens w:val="0"/>
              <w:spacing w:after="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 w:rsidRPr="00B86F91">
              <w:rPr>
                <w:rFonts w:eastAsia="SimSun"/>
                <w:sz w:val="20"/>
                <w:szCs w:val="20"/>
                <w:lang w:val="el-GR"/>
              </w:rPr>
              <w:t>Μπρελόκ</w:t>
            </w:r>
            <w:r>
              <w:rPr>
                <w:rFonts w:eastAsia="SimSun"/>
                <w:sz w:val="20"/>
                <w:szCs w:val="20"/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0831E6CE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7D7027F3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52B9A18B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0DA905FD" w14:textId="77777777" w:rsidTr="00386109">
        <w:trPr>
          <w:trHeight w:val="405"/>
          <w:jc w:val="center"/>
        </w:trPr>
        <w:tc>
          <w:tcPr>
            <w:tcW w:w="853" w:type="dxa"/>
          </w:tcPr>
          <w:p w14:paraId="14F451D9" w14:textId="77777777" w:rsidR="00351112" w:rsidRPr="00637CD4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>
              <w:rPr>
                <w:rFonts w:eastAsia="SimSun"/>
                <w:sz w:val="20"/>
                <w:szCs w:val="20"/>
                <w:lang w:val="el-GR"/>
              </w:rPr>
              <w:t>2</w:t>
            </w:r>
          </w:p>
        </w:tc>
        <w:tc>
          <w:tcPr>
            <w:tcW w:w="2967" w:type="dxa"/>
            <w:shd w:val="clear" w:color="auto" w:fill="auto"/>
          </w:tcPr>
          <w:p w14:paraId="7BF4AFA5" w14:textId="77777777" w:rsidR="00351112" w:rsidRPr="007B4500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 w:rsidRPr="00B86F91">
              <w:rPr>
                <w:rFonts w:eastAsia="SimSun"/>
                <w:sz w:val="20"/>
                <w:szCs w:val="20"/>
                <w:lang w:val="en-US"/>
              </w:rPr>
              <w:t>Charms</w:t>
            </w:r>
            <w:r>
              <w:rPr>
                <w:rFonts w:eastAsia="SimSun"/>
                <w:sz w:val="20"/>
                <w:szCs w:val="20"/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75034785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19DBBFD1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1E5A6A34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798ABD02" w14:textId="77777777" w:rsidTr="00386109">
        <w:trPr>
          <w:trHeight w:val="405"/>
          <w:jc w:val="center"/>
        </w:trPr>
        <w:tc>
          <w:tcPr>
            <w:tcW w:w="853" w:type="dxa"/>
          </w:tcPr>
          <w:p w14:paraId="28577E1F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2967" w:type="dxa"/>
            <w:shd w:val="clear" w:color="auto" w:fill="auto"/>
          </w:tcPr>
          <w:p w14:paraId="3F8E427B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 w:rsidRPr="00B86F91">
              <w:rPr>
                <w:lang w:val="el-GR"/>
              </w:rPr>
              <w:t>Στυλό</w:t>
            </w:r>
            <w:r>
              <w:rPr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4F992CA5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4252861D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72EFEE0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41A3DC87" w14:textId="77777777" w:rsidTr="00386109">
        <w:trPr>
          <w:trHeight w:val="405"/>
          <w:jc w:val="center"/>
        </w:trPr>
        <w:tc>
          <w:tcPr>
            <w:tcW w:w="853" w:type="dxa"/>
          </w:tcPr>
          <w:p w14:paraId="5A81E059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>
              <w:rPr>
                <w:rFonts w:eastAsia="SimSun"/>
                <w:sz w:val="20"/>
                <w:szCs w:val="20"/>
                <w:lang w:val="el-GR"/>
              </w:rPr>
              <w:t>4</w:t>
            </w:r>
          </w:p>
        </w:tc>
        <w:tc>
          <w:tcPr>
            <w:tcW w:w="2967" w:type="dxa"/>
            <w:shd w:val="clear" w:color="auto" w:fill="auto"/>
          </w:tcPr>
          <w:p w14:paraId="4388A274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 w:rsidRPr="00B86F91">
              <w:rPr>
                <w:rFonts w:eastAsia="SimSun"/>
                <w:sz w:val="20"/>
                <w:szCs w:val="20"/>
                <w:lang w:val="el-GR"/>
              </w:rPr>
              <w:t>Πορτοφολάκια</w:t>
            </w:r>
            <w:r>
              <w:rPr>
                <w:szCs w:val="22"/>
                <w:lang w:val="el-GR"/>
              </w:rPr>
              <w:t xml:space="preserve"> σύμφωνα με το Παράρτημα Ι μέρος Α της Διακήρυξης</w:t>
            </w:r>
          </w:p>
        </w:tc>
        <w:tc>
          <w:tcPr>
            <w:tcW w:w="1425" w:type="dxa"/>
          </w:tcPr>
          <w:p w14:paraId="6BCD1A19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366F28BE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617ADE0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6A132B9A" w14:textId="77777777" w:rsidTr="00386109">
        <w:trPr>
          <w:trHeight w:val="405"/>
          <w:jc w:val="center"/>
        </w:trPr>
        <w:tc>
          <w:tcPr>
            <w:tcW w:w="853" w:type="dxa"/>
          </w:tcPr>
          <w:p w14:paraId="464FECCD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2967" w:type="dxa"/>
            <w:shd w:val="clear" w:color="auto" w:fill="auto"/>
          </w:tcPr>
          <w:p w14:paraId="033C5270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lang w:val="el-GR"/>
              </w:rPr>
            </w:pPr>
            <w:r w:rsidRPr="00B86F91">
              <w:rPr>
                <w:lang w:val="el-GR"/>
              </w:rPr>
              <w:t xml:space="preserve">Κασετίνα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3C333D9F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14CFD9AE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04DE955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11562896" w14:textId="77777777" w:rsidTr="00386109">
        <w:trPr>
          <w:trHeight w:val="405"/>
          <w:jc w:val="center"/>
        </w:trPr>
        <w:tc>
          <w:tcPr>
            <w:tcW w:w="853" w:type="dxa"/>
          </w:tcPr>
          <w:p w14:paraId="7C7C915A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lang w:val="el-GR"/>
              </w:rPr>
            </w:pPr>
            <w:r>
              <w:rPr>
                <w:lang w:val="el-GR"/>
              </w:rPr>
              <w:t>6</w:t>
            </w:r>
          </w:p>
        </w:tc>
        <w:tc>
          <w:tcPr>
            <w:tcW w:w="2967" w:type="dxa"/>
            <w:shd w:val="clear" w:color="auto" w:fill="auto"/>
          </w:tcPr>
          <w:p w14:paraId="51E124CD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lang w:val="el-GR"/>
              </w:rPr>
            </w:pPr>
            <w:r w:rsidRPr="00B86F91">
              <w:rPr>
                <w:lang w:val="el-GR"/>
              </w:rPr>
              <w:t>Τετράδια</w:t>
            </w:r>
            <w:r>
              <w:rPr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454DB718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5175FFC4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36E1D93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318AF43B" w14:textId="77777777" w:rsidTr="00386109">
        <w:trPr>
          <w:trHeight w:val="405"/>
          <w:jc w:val="center"/>
        </w:trPr>
        <w:tc>
          <w:tcPr>
            <w:tcW w:w="853" w:type="dxa"/>
          </w:tcPr>
          <w:p w14:paraId="315FB8AB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  <w:tc>
          <w:tcPr>
            <w:tcW w:w="2967" w:type="dxa"/>
            <w:shd w:val="clear" w:color="auto" w:fill="auto"/>
          </w:tcPr>
          <w:p w14:paraId="403C381C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lang w:val="el-GR"/>
              </w:rPr>
            </w:pPr>
            <w:r w:rsidRPr="00B86F91">
              <w:rPr>
                <w:lang w:val="el-GR"/>
              </w:rPr>
              <w:t>Γόμες</w:t>
            </w:r>
            <w:r>
              <w:rPr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614168A8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2558D0BF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5B4CEF73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2710375C" w14:textId="77777777" w:rsidTr="00386109">
        <w:trPr>
          <w:trHeight w:val="405"/>
          <w:jc w:val="center"/>
        </w:trPr>
        <w:tc>
          <w:tcPr>
            <w:tcW w:w="853" w:type="dxa"/>
          </w:tcPr>
          <w:p w14:paraId="3AC85307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>
              <w:rPr>
                <w:rFonts w:eastAsia="SimSun"/>
                <w:sz w:val="20"/>
                <w:szCs w:val="20"/>
                <w:lang w:val="el-GR"/>
              </w:rPr>
              <w:t>8</w:t>
            </w:r>
          </w:p>
        </w:tc>
        <w:tc>
          <w:tcPr>
            <w:tcW w:w="2967" w:type="dxa"/>
            <w:shd w:val="clear" w:color="auto" w:fill="auto"/>
          </w:tcPr>
          <w:p w14:paraId="3225F3FC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 w:rsidRPr="00B86F91">
              <w:rPr>
                <w:rFonts w:eastAsia="SimSun"/>
                <w:sz w:val="20"/>
                <w:szCs w:val="20"/>
                <w:lang w:val="el-GR"/>
              </w:rPr>
              <w:t>Χάρακες</w:t>
            </w:r>
            <w:r>
              <w:rPr>
                <w:rFonts w:eastAsia="SimSun"/>
                <w:sz w:val="20"/>
                <w:szCs w:val="20"/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750DC61D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2C762FE3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4D17D9ED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3A434ACC" w14:textId="77777777" w:rsidTr="00386109">
        <w:trPr>
          <w:jc w:val="center"/>
        </w:trPr>
        <w:tc>
          <w:tcPr>
            <w:tcW w:w="853" w:type="dxa"/>
          </w:tcPr>
          <w:p w14:paraId="34288B3B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>
              <w:rPr>
                <w:rFonts w:eastAsia="SimSun"/>
                <w:sz w:val="20"/>
                <w:szCs w:val="20"/>
                <w:lang w:val="el-GR"/>
              </w:rPr>
              <w:t>9</w:t>
            </w:r>
          </w:p>
        </w:tc>
        <w:tc>
          <w:tcPr>
            <w:tcW w:w="2967" w:type="dxa"/>
            <w:shd w:val="clear" w:color="auto" w:fill="auto"/>
          </w:tcPr>
          <w:p w14:paraId="127222DD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rFonts w:eastAsia="SimSun"/>
                <w:sz w:val="20"/>
                <w:szCs w:val="20"/>
                <w:lang w:val="el-GR"/>
              </w:rPr>
            </w:pPr>
            <w:r w:rsidRPr="00B86F91">
              <w:rPr>
                <w:rFonts w:eastAsia="SimSun"/>
                <w:sz w:val="20"/>
                <w:szCs w:val="20"/>
                <w:lang w:val="el-GR"/>
              </w:rPr>
              <w:t>Μολύβια</w:t>
            </w:r>
            <w:r>
              <w:rPr>
                <w:rFonts w:eastAsia="SimSun"/>
                <w:sz w:val="20"/>
                <w:szCs w:val="20"/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3FB03640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661E1767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2B74C8AC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1BF44D73" w14:textId="77777777" w:rsidTr="00386109">
        <w:trPr>
          <w:jc w:val="center"/>
        </w:trPr>
        <w:tc>
          <w:tcPr>
            <w:tcW w:w="853" w:type="dxa"/>
          </w:tcPr>
          <w:p w14:paraId="4299458E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10</w:t>
            </w:r>
          </w:p>
        </w:tc>
        <w:tc>
          <w:tcPr>
            <w:tcW w:w="2967" w:type="dxa"/>
          </w:tcPr>
          <w:p w14:paraId="0D0E4370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  <w:r w:rsidRPr="00B86F91">
              <w:rPr>
                <w:sz w:val="20"/>
                <w:szCs w:val="20"/>
                <w:lang w:val="el-GR"/>
              </w:rPr>
              <w:t>Μπλοκ Ζωγραφικής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773DD3E9" w14:textId="77777777" w:rsidR="00351112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19F782A4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475B7DC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86F91" w14:paraId="4F935D03" w14:textId="77777777" w:rsidTr="00386109">
        <w:trPr>
          <w:jc w:val="center"/>
        </w:trPr>
        <w:tc>
          <w:tcPr>
            <w:tcW w:w="853" w:type="dxa"/>
          </w:tcPr>
          <w:p w14:paraId="064C03AE" w14:textId="77777777" w:rsidR="00351112" w:rsidRPr="00B86F91" w:rsidRDefault="00351112" w:rsidP="00386109">
            <w:pPr>
              <w:tabs>
                <w:tab w:val="left" w:pos="1076"/>
              </w:tabs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11</w:t>
            </w:r>
          </w:p>
        </w:tc>
        <w:tc>
          <w:tcPr>
            <w:tcW w:w="2967" w:type="dxa"/>
          </w:tcPr>
          <w:p w14:paraId="2D35E7F4" w14:textId="77777777" w:rsidR="00351112" w:rsidRPr="007B4500" w:rsidRDefault="00351112" w:rsidP="00386109">
            <w:pPr>
              <w:tabs>
                <w:tab w:val="left" w:pos="1076"/>
              </w:tabs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  <w:r w:rsidRPr="00B86F91">
              <w:rPr>
                <w:sz w:val="20"/>
                <w:szCs w:val="20"/>
                <w:lang w:val="el-GR"/>
              </w:rPr>
              <w:t>Αναδιπλούμενες</w:t>
            </w:r>
            <w:r w:rsidRPr="007B4500">
              <w:rPr>
                <w:sz w:val="20"/>
                <w:szCs w:val="20"/>
                <w:lang w:val="el-GR"/>
              </w:rPr>
              <w:t xml:space="preserve"> </w:t>
            </w:r>
            <w:r w:rsidRPr="00B86F91">
              <w:rPr>
                <w:sz w:val="20"/>
                <w:szCs w:val="20"/>
                <w:lang w:val="el-GR"/>
              </w:rPr>
              <w:t>τσάντες</w:t>
            </w:r>
            <w:r w:rsidRPr="007B4500">
              <w:rPr>
                <w:sz w:val="20"/>
                <w:szCs w:val="20"/>
                <w:lang w:val="el-GR"/>
              </w:rPr>
              <w:t xml:space="preserve"> (</w:t>
            </w:r>
            <w:r w:rsidRPr="00B86F91">
              <w:rPr>
                <w:sz w:val="20"/>
                <w:szCs w:val="20"/>
                <w:lang w:val="en-US"/>
              </w:rPr>
              <w:t>Foldable</w:t>
            </w:r>
            <w:r w:rsidRPr="007B4500">
              <w:rPr>
                <w:sz w:val="20"/>
                <w:szCs w:val="20"/>
                <w:lang w:val="el-GR"/>
              </w:rPr>
              <w:t xml:space="preserve"> </w:t>
            </w:r>
            <w:r w:rsidRPr="00B86F91">
              <w:rPr>
                <w:sz w:val="20"/>
                <w:szCs w:val="20"/>
                <w:lang w:val="en-US"/>
              </w:rPr>
              <w:t>Shopping</w:t>
            </w:r>
            <w:r w:rsidRPr="007B4500">
              <w:rPr>
                <w:sz w:val="20"/>
                <w:szCs w:val="20"/>
                <w:lang w:val="el-GR"/>
              </w:rPr>
              <w:t xml:space="preserve"> </w:t>
            </w:r>
            <w:r w:rsidRPr="00B86F91">
              <w:rPr>
                <w:sz w:val="20"/>
                <w:szCs w:val="20"/>
                <w:lang w:val="en-US"/>
              </w:rPr>
              <w:t>bags</w:t>
            </w:r>
            <w:r w:rsidRPr="007B4500">
              <w:rPr>
                <w:sz w:val="20"/>
                <w:szCs w:val="20"/>
                <w:lang w:val="el-GR"/>
              </w:rPr>
              <w:t>)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>
              <w:rPr>
                <w:szCs w:val="22"/>
                <w:lang w:val="el-GR"/>
              </w:rPr>
              <w:t>σύμφωνα με το Παράρτημα Ι μέρος Α της Διακήρυξης</w:t>
            </w:r>
          </w:p>
        </w:tc>
        <w:tc>
          <w:tcPr>
            <w:tcW w:w="1425" w:type="dxa"/>
          </w:tcPr>
          <w:p w14:paraId="081048E5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n-US"/>
              </w:rPr>
            </w:pPr>
            <w:r w:rsidRPr="00BA5E5A"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73C93714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1480" w:type="dxa"/>
          </w:tcPr>
          <w:p w14:paraId="0952FBD2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n-US"/>
              </w:rPr>
            </w:pPr>
          </w:p>
        </w:tc>
      </w:tr>
      <w:tr w:rsidR="00351112" w:rsidRPr="00BA5E5A" w14:paraId="6F38AA04" w14:textId="77777777" w:rsidTr="00386109">
        <w:trPr>
          <w:jc w:val="center"/>
        </w:trPr>
        <w:tc>
          <w:tcPr>
            <w:tcW w:w="853" w:type="dxa"/>
          </w:tcPr>
          <w:p w14:paraId="63641EFE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2967" w:type="dxa"/>
          </w:tcPr>
          <w:p w14:paraId="1305ED7D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  <w:r w:rsidRPr="00B86F91">
              <w:rPr>
                <w:sz w:val="20"/>
                <w:szCs w:val="20"/>
                <w:lang w:val="el-GR"/>
              </w:rPr>
              <w:t>Συμμόρφωση με όλους τους όρους και τις απαιτήσεις της Διακήρυξης και των Παραρτημάτων της</w:t>
            </w:r>
          </w:p>
        </w:tc>
        <w:tc>
          <w:tcPr>
            <w:tcW w:w="1425" w:type="dxa"/>
          </w:tcPr>
          <w:p w14:paraId="65748782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</w:tcPr>
          <w:p w14:paraId="427F81C9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</w:tcPr>
          <w:p w14:paraId="30A2C3A7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003DE0F9" w14:textId="77777777" w:rsidTr="00386109">
        <w:trPr>
          <w:jc w:val="center"/>
        </w:trPr>
        <w:tc>
          <w:tcPr>
            <w:tcW w:w="853" w:type="dxa"/>
            <w:shd w:val="clear" w:color="auto" w:fill="D9D9D9"/>
          </w:tcPr>
          <w:p w14:paraId="6BDF5F2D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2967" w:type="dxa"/>
            <w:shd w:val="clear" w:color="auto" w:fill="D9D9D9"/>
          </w:tcPr>
          <w:p w14:paraId="735327C6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1425" w:type="dxa"/>
            <w:shd w:val="clear" w:color="auto" w:fill="D9D9D9"/>
          </w:tcPr>
          <w:p w14:paraId="5829BC75" w14:textId="77777777" w:rsidR="00351112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</w:p>
        </w:tc>
        <w:tc>
          <w:tcPr>
            <w:tcW w:w="1370" w:type="dxa"/>
            <w:shd w:val="clear" w:color="auto" w:fill="D9D9D9"/>
          </w:tcPr>
          <w:p w14:paraId="542FB323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  <w:shd w:val="clear" w:color="auto" w:fill="D9D9D9"/>
          </w:tcPr>
          <w:p w14:paraId="44F82F5D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1D327FE5" w14:textId="77777777" w:rsidTr="00386109">
        <w:trPr>
          <w:jc w:val="center"/>
        </w:trPr>
        <w:tc>
          <w:tcPr>
            <w:tcW w:w="853" w:type="dxa"/>
            <w:shd w:val="clear" w:color="auto" w:fill="auto"/>
          </w:tcPr>
          <w:p w14:paraId="60EC704B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2967" w:type="dxa"/>
            <w:shd w:val="clear" w:color="auto" w:fill="auto"/>
          </w:tcPr>
          <w:p w14:paraId="699CE428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  <w:r w:rsidRPr="00172481">
              <w:rPr>
                <w:b/>
                <w:bCs/>
                <w:color w:val="000000"/>
                <w:szCs w:val="22"/>
                <w:lang w:val="el-GR"/>
              </w:rPr>
              <w:t>ΧΡΟΝΟΣ ΠΑΡΑΔΟΣΗΣ</w:t>
            </w:r>
          </w:p>
        </w:tc>
        <w:tc>
          <w:tcPr>
            <w:tcW w:w="4275" w:type="dxa"/>
            <w:gridSpan w:val="3"/>
            <w:shd w:val="clear" w:color="auto" w:fill="auto"/>
          </w:tcPr>
          <w:p w14:paraId="42E9C4DF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  <w:tr w:rsidR="00351112" w:rsidRPr="00BA5E5A" w14:paraId="175F57D6" w14:textId="77777777" w:rsidTr="00386109">
        <w:trPr>
          <w:jc w:val="center"/>
        </w:trPr>
        <w:tc>
          <w:tcPr>
            <w:tcW w:w="853" w:type="dxa"/>
            <w:shd w:val="clear" w:color="auto" w:fill="auto"/>
          </w:tcPr>
          <w:p w14:paraId="356148B6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2967" w:type="dxa"/>
            <w:shd w:val="clear" w:color="auto" w:fill="auto"/>
          </w:tcPr>
          <w:p w14:paraId="702F43C2" w14:textId="77777777" w:rsidR="00351112" w:rsidRPr="00B86F91" w:rsidRDefault="00351112" w:rsidP="00386109">
            <w:pPr>
              <w:suppressAutoHyphens w:val="0"/>
              <w:autoSpaceDE w:val="0"/>
              <w:spacing w:after="60"/>
              <w:jc w:val="left"/>
              <w:rPr>
                <w:sz w:val="20"/>
                <w:szCs w:val="20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Συμμόρφωση με τους χρόνους παράδοσης όπως περιγράφονται στο Παράρτημα Ι μέρος Β της διακήρυξης</w:t>
            </w:r>
          </w:p>
        </w:tc>
        <w:tc>
          <w:tcPr>
            <w:tcW w:w="1425" w:type="dxa"/>
            <w:shd w:val="clear" w:color="auto" w:fill="auto"/>
          </w:tcPr>
          <w:p w14:paraId="60475AEB" w14:textId="77777777" w:rsidR="00351112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lang w:val="el-GR"/>
              </w:rPr>
            </w:pPr>
            <w:r>
              <w:rPr>
                <w:rFonts w:eastAsia="SimSun"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370" w:type="dxa"/>
            <w:shd w:val="clear" w:color="auto" w:fill="auto"/>
          </w:tcPr>
          <w:p w14:paraId="2C77C383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  <w:tc>
          <w:tcPr>
            <w:tcW w:w="1480" w:type="dxa"/>
            <w:shd w:val="clear" w:color="auto" w:fill="auto"/>
          </w:tcPr>
          <w:p w14:paraId="09943FC6" w14:textId="77777777" w:rsidR="00351112" w:rsidRPr="00BA5E5A" w:rsidRDefault="00351112" w:rsidP="00386109">
            <w:pPr>
              <w:suppressAutoHyphens w:val="0"/>
              <w:autoSpaceDE w:val="0"/>
              <w:spacing w:after="60"/>
              <w:jc w:val="center"/>
              <w:rPr>
                <w:rFonts w:eastAsia="SimSun"/>
                <w:sz w:val="20"/>
                <w:szCs w:val="20"/>
                <w:highlight w:val="lightGray"/>
                <w:lang w:val="el-GR"/>
              </w:rPr>
            </w:pPr>
          </w:p>
        </w:tc>
      </w:tr>
    </w:tbl>
    <w:p w14:paraId="5201EED3" w14:textId="77777777" w:rsidR="00337966" w:rsidRDefault="00337966"/>
    <w:sectPr w:rsidR="003379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966"/>
    <w:rsid w:val="00337966"/>
    <w:rsid w:val="0035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DB1E5-2CEE-46F4-935C-A5E92533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112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351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351112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51112"/>
    <w:rPr>
      <w:rFonts w:ascii="Arial" w:eastAsia="Times New Roman" w:hAnsi="Arial" w:cs="Arial"/>
      <w:b/>
      <w:color w:val="002060"/>
      <w:kern w:val="0"/>
      <w:sz w:val="24"/>
      <w:lang w:val="en-GB" w:eastAsia="zh-CN"/>
      <w14:ligatures w14:val="none"/>
    </w:rPr>
  </w:style>
  <w:style w:type="character" w:customStyle="1" w:styleId="1Char">
    <w:name w:val="Επικεφαλίδα 1 Char"/>
    <w:basedOn w:val="a0"/>
    <w:link w:val="1"/>
    <w:uiPriority w:val="9"/>
    <w:rsid w:val="0035111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2023-11-14T14:07:00Z</dcterms:created>
  <dcterms:modified xsi:type="dcterms:W3CDTF">2023-11-14T14:07:00Z</dcterms:modified>
</cp:coreProperties>
</file>